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64E1" w14:textId="7C64F529" w:rsidR="001E7F5A" w:rsidRDefault="00CE0BD6" w:rsidP="001E7F5A">
      <w:pPr>
        <w:pStyle w:val="Tytu"/>
        <w:jc w:val="center"/>
        <w:rPr>
          <w:b/>
          <w:bCs/>
          <w:sz w:val="32"/>
          <w:szCs w:val="32"/>
        </w:rPr>
      </w:pPr>
      <w:r w:rsidRPr="00CE0BD6">
        <w:rPr>
          <w:b/>
          <w:bCs/>
          <w:sz w:val="32"/>
          <w:szCs w:val="32"/>
        </w:rPr>
        <w:t>Pedagogika przedszkolna i wczesnoszkolna</w:t>
      </w:r>
    </w:p>
    <w:p w14:paraId="520973DD" w14:textId="452D1B7C" w:rsidR="001A4A9C" w:rsidRDefault="00CE0BD6" w:rsidP="001E7F5A">
      <w:pPr>
        <w:pStyle w:val="Tytu"/>
        <w:jc w:val="center"/>
        <w:rPr>
          <w:sz w:val="32"/>
          <w:szCs w:val="32"/>
        </w:rPr>
      </w:pPr>
      <w:r w:rsidRPr="00CE0BD6">
        <w:rPr>
          <w:sz w:val="32"/>
          <w:szCs w:val="32"/>
        </w:rPr>
        <w:t>zagadnienia na egzamin dyplomowy</w:t>
      </w:r>
    </w:p>
    <w:p w14:paraId="06AF3BF2" w14:textId="5DB332FB" w:rsidR="00212373" w:rsidRDefault="00212373" w:rsidP="00CE0BD6">
      <w:pPr>
        <w:pStyle w:val="Akapitzlist"/>
        <w:numPr>
          <w:ilvl w:val="0"/>
          <w:numId w:val="1"/>
        </w:numPr>
      </w:pPr>
      <w:r>
        <w:t>Pedagogika jako nauka teoretyczna i praktyczna</w:t>
      </w:r>
    </w:p>
    <w:p w14:paraId="61B71E64" w14:textId="0ECD5502" w:rsidR="00212373" w:rsidRDefault="00212373" w:rsidP="00CE0BD6">
      <w:pPr>
        <w:pStyle w:val="Akapitzlist"/>
        <w:numPr>
          <w:ilvl w:val="0"/>
          <w:numId w:val="1"/>
        </w:numPr>
      </w:pPr>
      <w:r>
        <w:t xml:space="preserve">Podstawowe pojęcia pedagogiki </w:t>
      </w:r>
      <w:r w:rsidR="006D3DA9">
        <w:t>przedszkolnej i wczesnoszkolnej,</w:t>
      </w:r>
      <w:r>
        <w:t xml:space="preserve"> ich zakresy znaczeniowe, relacje między nimi</w:t>
      </w:r>
    </w:p>
    <w:p w14:paraId="641565D7" w14:textId="345FFA37" w:rsidR="00212373" w:rsidRDefault="00212373" w:rsidP="00CE0BD6">
      <w:pPr>
        <w:pStyle w:val="Akapitzlist"/>
        <w:numPr>
          <w:ilvl w:val="0"/>
          <w:numId w:val="1"/>
        </w:numPr>
      </w:pPr>
      <w:r>
        <w:t>Główne kierunki współczesnej pedagogiki</w:t>
      </w:r>
      <w:r w:rsidR="006D3DA9">
        <w:t xml:space="preserve"> przedszkolnej i wczesnoszkolnej</w:t>
      </w:r>
    </w:p>
    <w:p w14:paraId="3DA9C6CB" w14:textId="5DB2BC66" w:rsidR="00212373" w:rsidRDefault="00212373" w:rsidP="00CE0BD6">
      <w:pPr>
        <w:pStyle w:val="Akapitzlist"/>
        <w:numPr>
          <w:ilvl w:val="0"/>
          <w:numId w:val="1"/>
        </w:numPr>
      </w:pPr>
      <w:r>
        <w:t>Wychowanie w różnych ujęciach i koncepcjach</w:t>
      </w:r>
    </w:p>
    <w:p w14:paraId="38C237A4" w14:textId="4260D420" w:rsidR="0042091C" w:rsidRDefault="0042091C" w:rsidP="00CE0BD6">
      <w:pPr>
        <w:pStyle w:val="Akapitzlist"/>
        <w:numPr>
          <w:ilvl w:val="0"/>
          <w:numId w:val="1"/>
        </w:numPr>
      </w:pPr>
      <w:r>
        <w:t>Rozwój moralny – koncepcje i ich pedagogiczne znaczenie</w:t>
      </w:r>
    </w:p>
    <w:p w14:paraId="56DA9D07" w14:textId="12A35538" w:rsidR="0042091C" w:rsidRDefault="0042091C" w:rsidP="00CE0BD6">
      <w:pPr>
        <w:pStyle w:val="Akapitzlist"/>
        <w:numPr>
          <w:ilvl w:val="0"/>
          <w:numId w:val="1"/>
        </w:numPr>
      </w:pPr>
      <w:r>
        <w:t>Rozwój poznawczy na przykładzie wybranej teorii a możliwości oddziaływania nauczyciela</w:t>
      </w:r>
    </w:p>
    <w:p w14:paraId="7C7D9A4B" w14:textId="644ABF22" w:rsidR="00CE0BD6" w:rsidRDefault="0042091C" w:rsidP="00CE0BD6">
      <w:pPr>
        <w:pStyle w:val="Akapitzlist"/>
        <w:numPr>
          <w:ilvl w:val="0"/>
          <w:numId w:val="1"/>
        </w:numPr>
      </w:pPr>
      <w:r>
        <w:t>R</w:t>
      </w:r>
      <w:r w:rsidR="00CE0BD6">
        <w:t>ozwój emocjonaln</w:t>
      </w:r>
      <w:r>
        <w:t>o-społeczny</w:t>
      </w:r>
      <w:r w:rsidR="00CE0BD6">
        <w:t xml:space="preserve"> człowieka </w:t>
      </w:r>
      <w:r>
        <w:t>na przykładzie wybranej teorii a możliwości oddziaływania nauczyciela</w:t>
      </w:r>
    </w:p>
    <w:p w14:paraId="08FD66C6" w14:textId="7EA4DA5F" w:rsidR="00CE0BD6" w:rsidRDefault="006D3DA9" w:rsidP="00CE0BD6">
      <w:pPr>
        <w:pStyle w:val="Akapitzlist"/>
        <w:numPr>
          <w:ilvl w:val="0"/>
          <w:numId w:val="1"/>
        </w:numPr>
      </w:pPr>
      <w:r>
        <w:t>G</w:t>
      </w:r>
      <w:r w:rsidRPr="006D3DA9">
        <w:t>łówne środowiska wychowawcze</w:t>
      </w:r>
      <w:r>
        <w:t xml:space="preserve"> dziecka w wieku przedszkolnym i wczesnoszkolnym –charakterystyka</w:t>
      </w:r>
      <w:r w:rsidR="00427269">
        <w:t>, szanse i zagrożenia współpracy</w:t>
      </w:r>
    </w:p>
    <w:p w14:paraId="74A78251" w14:textId="56B16A7B" w:rsidR="006D3DA9" w:rsidRDefault="006D3DA9" w:rsidP="00CE0BD6">
      <w:pPr>
        <w:pStyle w:val="Akapitzlist"/>
        <w:numPr>
          <w:ilvl w:val="0"/>
          <w:numId w:val="1"/>
        </w:numPr>
      </w:pPr>
      <w:r w:rsidRPr="006D3DA9">
        <w:t xml:space="preserve">System edukacji przedszkolnej i wczesnoszkolnej w Polsce – </w:t>
      </w:r>
      <w:r>
        <w:t>charakterystyka</w:t>
      </w:r>
    </w:p>
    <w:p w14:paraId="023B92E2" w14:textId="14AB201F" w:rsidR="00B31BF1" w:rsidRDefault="00B31BF1" w:rsidP="00CE0BD6">
      <w:pPr>
        <w:pStyle w:val="Akapitzlist"/>
        <w:numPr>
          <w:ilvl w:val="0"/>
          <w:numId w:val="1"/>
        </w:numPr>
      </w:pPr>
      <w:r w:rsidRPr="00B31BF1">
        <w:t>Edukacja włączająca – założenia i sposoby realizacji</w:t>
      </w:r>
    </w:p>
    <w:p w14:paraId="69E74B31" w14:textId="77777777" w:rsidR="00B31BF1" w:rsidRDefault="00B31BF1" w:rsidP="00B31BF1">
      <w:pPr>
        <w:pStyle w:val="Akapitzlist"/>
        <w:numPr>
          <w:ilvl w:val="0"/>
          <w:numId w:val="1"/>
        </w:numPr>
      </w:pPr>
      <w:r w:rsidRPr="00B31BF1">
        <w:t>Edukacja międzykulturowa – założenia i sposoby realizacji</w:t>
      </w:r>
    </w:p>
    <w:p w14:paraId="79795ED0" w14:textId="357BB555" w:rsidR="00B31BF1" w:rsidRDefault="00B31BF1" w:rsidP="00CE0BD6">
      <w:pPr>
        <w:pStyle w:val="Akapitzlist"/>
        <w:numPr>
          <w:ilvl w:val="0"/>
          <w:numId w:val="1"/>
        </w:numPr>
      </w:pPr>
      <w:r w:rsidRPr="00B31BF1">
        <w:t>Prawa dziecka w środowisku przedszkolnym oraz szkolnym</w:t>
      </w:r>
    </w:p>
    <w:p w14:paraId="451B3F2B" w14:textId="3DCE18A3" w:rsidR="00B31BF1" w:rsidRDefault="00B31BF1" w:rsidP="00CE0BD6">
      <w:pPr>
        <w:pStyle w:val="Akapitzlist"/>
        <w:numPr>
          <w:ilvl w:val="0"/>
          <w:numId w:val="1"/>
        </w:numPr>
      </w:pPr>
      <w:r w:rsidRPr="00B31BF1">
        <w:t>Innowacje pedagogiczne w obszarze wychowania przedszkolnego i edukacji wczesnoszkolnej</w:t>
      </w:r>
    </w:p>
    <w:p w14:paraId="3DD756E1" w14:textId="6EEEE72E" w:rsidR="00B31BF1" w:rsidRDefault="00B31BF1" w:rsidP="00CE0BD6">
      <w:pPr>
        <w:pStyle w:val="Akapitzlist"/>
        <w:numPr>
          <w:ilvl w:val="0"/>
          <w:numId w:val="1"/>
        </w:numPr>
      </w:pPr>
      <w:r w:rsidRPr="00B31BF1">
        <w:t>Diagnoza w edukacji przedszkolnej i wczesnoszkolnej – istota, funkcje, formy.</w:t>
      </w:r>
    </w:p>
    <w:p w14:paraId="701B4F24" w14:textId="7112B3E7" w:rsidR="00B31BF1" w:rsidRDefault="00B31BF1" w:rsidP="00CE0BD6">
      <w:pPr>
        <w:pStyle w:val="Akapitzlist"/>
        <w:numPr>
          <w:ilvl w:val="0"/>
          <w:numId w:val="1"/>
        </w:numPr>
      </w:pPr>
      <w:r w:rsidRPr="00B31BF1">
        <w:t>Zabawa jako forma aktywności dziecka w wieku przedszkolnym i wczesnoszkolnym</w:t>
      </w:r>
      <w:r w:rsidR="0026301E">
        <w:t>: rodzaje, cele, zagrożenia</w:t>
      </w:r>
    </w:p>
    <w:p w14:paraId="3B0DD7CA" w14:textId="58E25858" w:rsidR="0075444A" w:rsidRDefault="0075444A" w:rsidP="00CE0BD6">
      <w:pPr>
        <w:pStyle w:val="Akapitzlist"/>
        <w:numPr>
          <w:ilvl w:val="0"/>
          <w:numId w:val="1"/>
        </w:numPr>
      </w:pPr>
      <w:r>
        <w:t xml:space="preserve">Ocenianie. </w:t>
      </w:r>
      <w:r w:rsidRPr="0075444A">
        <w:t>Poglądy, przemiany, funkcje oceny</w:t>
      </w:r>
    </w:p>
    <w:p w14:paraId="1E529AEE" w14:textId="616DACB3" w:rsidR="0075444A" w:rsidRDefault="0075444A" w:rsidP="00CE0BD6">
      <w:pPr>
        <w:pStyle w:val="Akapitzlist"/>
        <w:numPr>
          <w:ilvl w:val="0"/>
          <w:numId w:val="1"/>
        </w:numPr>
      </w:pPr>
      <w:r>
        <w:t>Z</w:t>
      </w:r>
      <w:r w:rsidRPr="0075444A">
        <w:t>różnicowane potrzeby rozwojowe i edukacyjne</w:t>
      </w:r>
      <w:r>
        <w:t xml:space="preserve"> – pojęcia, charakterystyka, </w:t>
      </w:r>
      <w:r w:rsidR="0026301E">
        <w:t>wybrane metody terapii</w:t>
      </w:r>
    </w:p>
    <w:p w14:paraId="2A8A780B" w14:textId="1D77B71C" w:rsidR="0026301E" w:rsidRDefault="0026301E" w:rsidP="00CE0BD6">
      <w:pPr>
        <w:pStyle w:val="Akapitzlist"/>
        <w:numPr>
          <w:ilvl w:val="0"/>
          <w:numId w:val="1"/>
        </w:numPr>
      </w:pPr>
      <w:r>
        <w:t>Zaburzenia mowy i ich przyczyny</w:t>
      </w:r>
    </w:p>
    <w:p w14:paraId="027CF9AB" w14:textId="0A786188" w:rsidR="0026301E" w:rsidRDefault="0026301E" w:rsidP="00CE0BD6">
      <w:pPr>
        <w:pStyle w:val="Akapitzlist"/>
        <w:numPr>
          <w:ilvl w:val="0"/>
          <w:numId w:val="1"/>
        </w:numPr>
      </w:pPr>
      <w:r>
        <w:t>K</w:t>
      </w:r>
      <w:r w:rsidRPr="0026301E">
        <w:t>ompetencje</w:t>
      </w:r>
      <w:r w:rsidR="00427269">
        <w:t xml:space="preserve"> i rola</w:t>
      </w:r>
      <w:r w:rsidRPr="0026301E">
        <w:t xml:space="preserve"> nauczyciela wychowania przedszkolnego i edukacji wczesnoszkolnej</w:t>
      </w:r>
    </w:p>
    <w:p w14:paraId="267B9DFC" w14:textId="5D065C19" w:rsidR="0026301E" w:rsidRDefault="0026301E" w:rsidP="00CE0BD6">
      <w:pPr>
        <w:pStyle w:val="Akapitzlist"/>
        <w:numPr>
          <w:ilvl w:val="0"/>
          <w:numId w:val="1"/>
        </w:numPr>
      </w:pPr>
      <w:r>
        <w:t>Komunikacja społeczna – prawidłowości, zakłócenia</w:t>
      </w:r>
    </w:p>
    <w:p w14:paraId="06CD07CD" w14:textId="32DFB570" w:rsidR="00427269" w:rsidRDefault="00427269" w:rsidP="00CE0BD6">
      <w:pPr>
        <w:pStyle w:val="Akapitzlist"/>
        <w:numPr>
          <w:ilvl w:val="0"/>
          <w:numId w:val="1"/>
        </w:numPr>
      </w:pPr>
      <w:r>
        <w:t>S</w:t>
      </w:r>
      <w:r w:rsidRPr="00427269">
        <w:t>pecyficzn</w:t>
      </w:r>
      <w:r>
        <w:t>e</w:t>
      </w:r>
      <w:r w:rsidRPr="00427269">
        <w:t xml:space="preserve"> trudności w uczeniu się</w:t>
      </w:r>
      <w:r>
        <w:t xml:space="preserve"> - pojęcia, charakterystyka, wybrane metody terapii</w:t>
      </w:r>
    </w:p>
    <w:p w14:paraId="0E6A87BD" w14:textId="77777777" w:rsidR="003026FF" w:rsidRDefault="00F25210" w:rsidP="00F25210">
      <w:pPr>
        <w:pStyle w:val="Akapitzlist"/>
        <w:numPr>
          <w:ilvl w:val="0"/>
          <w:numId w:val="1"/>
        </w:numPr>
      </w:pPr>
      <w:r>
        <w:t>M</w:t>
      </w:r>
      <w:r w:rsidRPr="00F25210">
        <w:t>etody nauki czytania</w:t>
      </w:r>
      <w:r>
        <w:t xml:space="preserve"> </w:t>
      </w:r>
    </w:p>
    <w:p w14:paraId="584B1B3D" w14:textId="411DB286" w:rsidR="00F25210" w:rsidRPr="00E2599A" w:rsidRDefault="00F25210" w:rsidP="00F25210">
      <w:pPr>
        <w:pStyle w:val="Akapitzlist"/>
        <w:numPr>
          <w:ilvl w:val="0"/>
          <w:numId w:val="1"/>
        </w:numPr>
      </w:pPr>
      <w:r w:rsidRPr="00E2599A">
        <w:t>Metody i techniki pracy z tekstem w klasach I-III</w:t>
      </w:r>
    </w:p>
    <w:p w14:paraId="0A70B2F5" w14:textId="782D44A3" w:rsidR="00F25210" w:rsidRPr="00F25210" w:rsidRDefault="00F25210" w:rsidP="00CE0BD6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25210">
        <w:rPr>
          <w:rFonts w:cstheme="minorHAnsi"/>
        </w:rPr>
        <w:t>Etapy czytania i ich charakterystyka</w:t>
      </w:r>
    </w:p>
    <w:p w14:paraId="5C591EF0" w14:textId="44B110FE" w:rsidR="00F25210" w:rsidRDefault="00F25210" w:rsidP="00CE0BD6">
      <w:pPr>
        <w:pStyle w:val="Akapitzlist"/>
        <w:numPr>
          <w:ilvl w:val="0"/>
          <w:numId w:val="1"/>
        </w:numPr>
      </w:pPr>
      <w:r>
        <w:t>N</w:t>
      </w:r>
      <w:r w:rsidRPr="00F25210">
        <w:t>auczani</w:t>
      </w:r>
      <w:r>
        <w:t>e</w:t>
      </w:r>
      <w:r w:rsidRPr="00F25210">
        <w:t xml:space="preserve"> czynnościowe matematyki w klasach I-III</w:t>
      </w:r>
    </w:p>
    <w:p w14:paraId="79F4AFF0" w14:textId="77777777" w:rsidR="003026FF" w:rsidRPr="003026FF" w:rsidRDefault="003026FF" w:rsidP="003026FF">
      <w:pPr>
        <w:pStyle w:val="Akapitzlist"/>
        <w:numPr>
          <w:ilvl w:val="0"/>
          <w:numId w:val="1"/>
        </w:numPr>
      </w:pPr>
      <w:r w:rsidRPr="003026FF">
        <w:t>Rodzaje ćwiczeń w pisaniu w edukacji wczesnoszkolnej</w:t>
      </w:r>
    </w:p>
    <w:p w14:paraId="5B872CD8" w14:textId="77777777" w:rsidR="003026FF" w:rsidRPr="003026FF" w:rsidRDefault="003026FF" w:rsidP="003026FF">
      <w:pPr>
        <w:pStyle w:val="Akapitzlist"/>
        <w:numPr>
          <w:ilvl w:val="0"/>
          <w:numId w:val="1"/>
        </w:numPr>
      </w:pPr>
      <w:r w:rsidRPr="003026FF">
        <w:t>Techniki plastyczne wspierające rozwój zdolności manualnych dzieci w wieku przedszkolnym i wczesnoszkolnym</w:t>
      </w:r>
    </w:p>
    <w:p w14:paraId="434501A3" w14:textId="456F735E" w:rsidR="003026FF" w:rsidRDefault="003026FF" w:rsidP="00CE0BD6">
      <w:pPr>
        <w:pStyle w:val="Akapitzlist"/>
        <w:numPr>
          <w:ilvl w:val="0"/>
          <w:numId w:val="1"/>
        </w:numPr>
      </w:pPr>
      <w:r>
        <w:t>Rozwijanie zainteresowań czytelniczych</w:t>
      </w:r>
    </w:p>
    <w:p w14:paraId="2A886CFA" w14:textId="5F55426B" w:rsidR="00741124" w:rsidRDefault="00741124" w:rsidP="00CE0BD6">
      <w:pPr>
        <w:pStyle w:val="Akapitzlist"/>
        <w:numPr>
          <w:ilvl w:val="0"/>
          <w:numId w:val="1"/>
        </w:numPr>
      </w:pPr>
      <w:r>
        <w:t xml:space="preserve">Edukacja społeczno-przyrodnicza – </w:t>
      </w:r>
      <w:r w:rsidR="00782EFD">
        <w:t>zasady projektowania zajęć dydaktycznych</w:t>
      </w:r>
    </w:p>
    <w:p w14:paraId="5B50AEA5" w14:textId="2DFD6475" w:rsidR="00741124" w:rsidRPr="00E2599A" w:rsidRDefault="00741124" w:rsidP="00CE0BD6">
      <w:pPr>
        <w:pStyle w:val="Akapitzlist"/>
        <w:numPr>
          <w:ilvl w:val="0"/>
          <w:numId w:val="1"/>
        </w:numPr>
      </w:pPr>
      <w:r w:rsidRPr="00E2599A">
        <w:t xml:space="preserve">Działania plastyczne dziecka lub ucznia - </w:t>
      </w:r>
      <w:r w:rsidR="004801C8" w:rsidRPr="00E2599A">
        <w:t>etapy, metody i formy projektowania</w:t>
      </w:r>
    </w:p>
    <w:p w14:paraId="2B546C71" w14:textId="1D4526FF" w:rsidR="004801C8" w:rsidRDefault="004801C8" w:rsidP="004801C8">
      <w:pPr>
        <w:pStyle w:val="Akapitzlist"/>
        <w:numPr>
          <w:ilvl w:val="0"/>
          <w:numId w:val="1"/>
        </w:numPr>
      </w:pPr>
      <w:r>
        <w:t>Zabawy rytmiczno-umuzykalniające – rodzaje, zasady projektowania</w:t>
      </w:r>
    </w:p>
    <w:p w14:paraId="6F3D2FD7" w14:textId="57587E1C" w:rsidR="004801C8" w:rsidRDefault="004801C8" w:rsidP="004801C8">
      <w:pPr>
        <w:pStyle w:val="Akapitzlist"/>
        <w:numPr>
          <w:ilvl w:val="0"/>
          <w:numId w:val="1"/>
        </w:numPr>
      </w:pPr>
      <w:r>
        <w:t>Wychowanie fizyczne w przedszkolu  – cele, zadania, zasady oceniania</w:t>
      </w:r>
    </w:p>
    <w:p w14:paraId="62CE190E" w14:textId="4EDDF691" w:rsidR="001E7F5A" w:rsidRDefault="001E7F5A" w:rsidP="004801C8">
      <w:pPr>
        <w:pStyle w:val="Akapitzlist"/>
        <w:numPr>
          <w:ilvl w:val="0"/>
          <w:numId w:val="1"/>
        </w:numPr>
      </w:pPr>
      <w:r>
        <w:t>Wychowanie fizyczne w szkole -cele, zadania, ocenianie</w:t>
      </w:r>
    </w:p>
    <w:p w14:paraId="36C9C1C5" w14:textId="77777777" w:rsidR="008F28E3" w:rsidRDefault="008F28E3" w:rsidP="004801C8">
      <w:pPr>
        <w:pStyle w:val="Akapitzlist"/>
        <w:numPr>
          <w:ilvl w:val="0"/>
          <w:numId w:val="1"/>
        </w:numPr>
      </w:pPr>
      <w:r>
        <w:t>Gotowość vs dojrzałość szkolna  – zakresy znaczeniowe, obszary, diagnoza</w:t>
      </w:r>
    </w:p>
    <w:p w14:paraId="1CBC831D" w14:textId="4EBCBAC2" w:rsidR="008F28E3" w:rsidRDefault="008F28E3" w:rsidP="004801C8">
      <w:pPr>
        <w:pStyle w:val="Akapitzlist"/>
        <w:numPr>
          <w:ilvl w:val="0"/>
          <w:numId w:val="1"/>
        </w:numPr>
      </w:pPr>
      <w:r w:rsidRPr="008F28E3">
        <w:t>Adaptacj</w:t>
      </w:r>
      <w:r>
        <w:t xml:space="preserve">a </w:t>
      </w:r>
      <w:r w:rsidRPr="008F28E3">
        <w:t>dziecka do środowiska przedszkolnego</w:t>
      </w:r>
      <w:r w:rsidR="00C561A6">
        <w:t xml:space="preserve"> lub szkolnego</w:t>
      </w:r>
    </w:p>
    <w:p w14:paraId="6E38FBDD" w14:textId="7BEBC3F1" w:rsidR="001E7F5A" w:rsidRPr="00D93F0A" w:rsidRDefault="001E7F5A" w:rsidP="004801C8">
      <w:pPr>
        <w:pStyle w:val="Akapitzlist"/>
        <w:numPr>
          <w:ilvl w:val="0"/>
          <w:numId w:val="1"/>
        </w:numPr>
      </w:pPr>
      <w:r w:rsidRPr="00D93F0A">
        <w:t>Zasady współpracy szkoły i przedszkola z rodziną</w:t>
      </w:r>
    </w:p>
    <w:p w14:paraId="1FFA8F80" w14:textId="21761467" w:rsidR="001E7F5A" w:rsidRPr="00D93F0A" w:rsidRDefault="00782EFD" w:rsidP="004801C8">
      <w:pPr>
        <w:pStyle w:val="Akapitzlist"/>
        <w:numPr>
          <w:ilvl w:val="0"/>
          <w:numId w:val="1"/>
        </w:numPr>
      </w:pPr>
      <w:r w:rsidRPr="00D93F0A">
        <w:t>Rozpoznawanie specyficznych trudności w uczeniu się – możliwości wpierania dzieci i uczniów</w:t>
      </w:r>
    </w:p>
    <w:p w14:paraId="708B73D5" w14:textId="7EB406E1" w:rsidR="00E2599A" w:rsidRPr="00D93F0A" w:rsidRDefault="00782EFD" w:rsidP="00782EFD">
      <w:pPr>
        <w:pStyle w:val="Akapitzlist"/>
        <w:numPr>
          <w:ilvl w:val="0"/>
          <w:numId w:val="1"/>
        </w:numPr>
      </w:pPr>
      <w:r w:rsidRPr="00D93F0A">
        <w:t>Rozwijanie umiejętności programowania u uczniów klas I-III szkoły podstawowej</w:t>
      </w:r>
    </w:p>
    <w:p w14:paraId="0D721720" w14:textId="5A28A8A8" w:rsidR="00E2599A" w:rsidRPr="00D93F0A" w:rsidRDefault="00226E78" w:rsidP="00E2599A">
      <w:pPr>
        <w:pStyle w:val="Akapitzlist"/>
        <w:numPr>
          <w:ilvl w:val="0"/>
          <w:numId w:val="1"/>
        </w:numPr>
      </w:pPr>
      <w:r w:rsidRPr="00D93F0A">
        <w:t xml:space="preserve">Rozwijanie postawy prozdrowotnej u dzieci </w:t>
      </w:r>
      <w:r w:rsidR="00BB1AC4">
        <w:t xml:space="preserve">w wieku przedszkolnym </w:t>
      </w:r>
      <w:r w:rsidRPr="00D93F0A">
        <w:t>lub uczniów klas I-III</w:t>
      </w:r>
    </w:p>
    <w:p w14:paraId="2117545D" w14:textId="5532150B" w:rsidR="00E2599A" w:rsidRPr="00D93F0A" w:rsidRDefault="00E2599A" w:rsidP="00E2599A">
      <w:pPr>
        <w:pStyle w:val="Akapitzlist"/>
        <w:numPr>
          <w:ilvl w:val="0"/>
          <w:numId w:val="1"/>
        </w:numPr>
      </w:pPr>
      <w:r w:rsidRPr="00D93F0A">
        <w:t>Zasady organizacji optymalnego środowiska edukacyjnego w przedszkolu i klasach</w:t>
      </w:r>
    </w:p>
    <w:p w14:paraId="732CAA60" w14:textId="170C4875" w:rsidR="00E2599A" w:rsidRPr="00D93F0A" w:rsidRDefault="00E2599A" w:rsidP="00E2599A">
      <w:pPr>
        <w:pStyle w:val="Akapitzlist"/>
      </w:pPr>
      <w:r w:rsidRPr="00D93F0A">
        <w:t>I–III szkoły podstawowej</w:t>
      </w:r>
    </w:p>
    <w:p w14:paraId="088792CC" w14:textId="77777777" w:rsidR="00E2599A" w:rsidRDefault="00E2599A" w:rsidP="00446BE0"/>
    <w:p w14:paraId="1C216D01" w14:textId="77777777" w:rsidR="00E2599A" w:rsidRPr="00CE0BD6" w:rsidRDefault="00E2599A" w:rsidP="00656F8D">
      <w:pPr>
        <w:pStyle w:val="Akapitzlist"/>
      </w:pPr>
    </w:p>
    <w:sectPr w:rsidR="00E2599A" w:rsidRPr="00CE0BD6" w:rsidSect="00D1087B">
      <w:pgSz w:w="11906" w:h="16838"/>
      <w:pgMar w:top="568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3C98"/>
    <w:multiLevelType w:val="hybridMultilevel"/>
    <w:tmpl w:val="B0649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0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D6"/>
    <w:rsid w:val="000362B9"/>
    <w:rsid w:val="000503EE"/>
    <w:rsid w:val="001A4A9C"/>
    <w:rsid w:val="001E7F5A"/>
    <w:rsid w:val="001F4F5B"/>
    <w:rsid w:val="00212373"/>
    <w:rsid w:val="00226E78"/>
    <w:rsid w:val="0026301E"/>
    <w:rsid w:val="00283B12"/>
    <w:rsid w:val="002A0372"/>
    <w:rsid w:val="002C6168"/>
    <w:rsid w:val="003026FF"/>
    <w:rsid w:val="0042091C"/>
    <w:rsid w:val="00427269"/>
    <w:rsid w:val="00446BE0"/>
    <w:rsid w:val="0046364B"/>
    <w:rsid w:val="004801C8"/>
    <w:rsid w:val="005A5198"/>
    <w:rsid w:val="00656F8D"/>
    <w:rsid w:val="006D3DA9"/>
    <w:rsid w:val="00741124"/>
    <w:rsid w:val="0075444A"/>
    <w:rsid w:val="00782EFD"/>
    <w:rsid w:val="008F28E3"/>
    <w:rsid w:val="008F53EE"/>
    <w:rsid w:val="0094745E"/>
    <w:rsid w:val="009816D3"/>
    <w:rsid w:val="00AD461E"/>
    <w:rsid w:val="00B31BF1"/>
    <w:rsid w:val="00BB1AC4"/>
    <w:rsid w:val="00BB6B64"/>
    <w:rsid w:val="00C561A6"/>
    <w:rsid w:val="00C9420A"/>
    <w:rsid w:val="00CE0BD6"/>
    <w:rsid w:val="00D1087B"/>
    <w:rsid w:val="00D93F0A"/>
    <w:rsid w:val="00E2599A"/>
    <w:rsid w:val="00F25210"/>
    <w:rsid w:val="00F6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41AF"/>
  <w15:chartTrackingRefBased/>
  <w15:docId w15:val="{E569DD07-68EA-4684-946F-B94962E4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0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0B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B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BD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0B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BD6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BD6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BD6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BD6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BD6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BD6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BD6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CE0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0BD6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0BD6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E0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0BD6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CE0B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0B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BD6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CE0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Gebreselassie</dc:creator>
  <cp:keywords/>
  <dc:description/>
  <cp:lastModifiedBy>Wydział Humanistyczny</cp:lastModifiedBy>
  <cp:revision>2</cp:revision>
  <cp:lastPrinted>2024-11-12T15:09:00Z</cp:lastPrinted>
  <dcterms:created xsi:type="dcterms:W3CDTF">2025-05-22T09:36:00Z</dcterms:created>
  <dcterms:modified xsi:type="dcterms:W3CDTF">2025-05-22T09:36:00Z</dcterms:modified>
</cp:coreProperties>
</file>