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18" w:rsidRPr="00834E18" w:rsidRDefault="00834E18" w:rsidP="00834E18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34E18">
        <w:rPr>
          <w:rFonts w:ascii="Calibri" w:eastAsia="Calibri" w:hAnsi="Calibri" w:cs="Times New Roman"/>
          <w:b/>
          <w:sz w:val="24"/>
          <w:szCs w:val="24"/>
        </w:rPr>
        <w:t>Zagadnienia na egzamin dyplomowy dla kierun</w:t>
      </w:r>
      <w:r w:rsidR="00246D6C">
        <w:rPr>
          <w:rFonts w:ascii="Calibri" w:eastAsia="Calibri" w:hAnsi="Calibri" w:cs="Times New Roman"/>
          <w:b/>
          <w:sz w:val="24"/>
          <w:szCs w:val="24"/>
        </w:rPr>
        <w:t>ku Filologia – język niemiecki</w:t>
      </w:r>
    </w:p>
    <w:p w:rsidR="00834E18" w:rsidRPr="00834E18" w:rsidRDefault="00246D6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</w:t>
      </w:r>
      <w:r w:rsidR="00834E18" w:rsidRPr="00834E18">
        <w:rPr>
          <w:rFonts w:ascii="Calibri" w:eastAsia="Calibri" w:hAnsi="Calibri" w:cs="Times New Roman"/>
          <w:b/>
          <w:sz w:val="24"/>
          <w:szCs w:val="24"/>
        </w:rPr>
        <w:t xml:space="preserve">tudia </w:t>
      </w:r>
      <w:r w:rsidR="00834E18">
        <w:rPr>
          <w:rFonts w:ascii="Calibri" w:eastAsia="Calibri" w:hAnsi="Calibri" w:cs="Times New Roman"/>
          <w:b/>
          <w:sz w:val="24"/>
          <w:szCs w:val="24"/>
        </w:rPr>
        <w:t>drugiego</w:t>
      </w:r>
      <w:r w:rsidR="00834E18" w:rsidRPr="00834E18">
        <w:rPr>
          <w:rFonts w:ascii="Calibri" w:eastAsia="Calibri" w:hAnsi="Calibri" w:cs="Times New Roman"/>
          <w:b/>
          <w:sz w:val="24"/>
          <w:szCs w:val="24"/>
        </w:rPr>
        <w:t xml:space="preserve"> stopnia</w:t>
      </w:r>
    </w:p>
    <w:p w:rsidR="00116706" w:rsidRPr="00834E18" w:rsidRDefault="00F1229F">
      <w:pPr>
        <w:rPr>
          <w:b/>
          <w:sz w:val="24"/>
          <w:szCs w:val="24"/>
        </w:rPr>
      </w:pPr>
      <w:r w:rsidRPr="00834E18">
        <w:rPr>
          <w:b/>
          <w:sz w:val="24"/>
          <w:szCs w:val="24"/>
        </w:rPr>
        <w:t>Pytania k</w:t>
      </w:r>
      <w:r w:rsidR="00834E18" w:rsidRPr="00834E18">
        <w:rPr>
          <w:b/>
          <w:sz w:val="24"/>
          <w:szCs w:val="24"/>
        </w:rPr>
        <w:t xml:space="preserve">ierunkowe </w:t>
      </w:r>
    </w:p>
    <w:p w:rsidR="00F1229F" w:rsidRPr="00246D6C" w:rsidRDefault="00F1229F" w:rsidP="007576D9">
      <w:pPr>
        <w:pStyle w:val="Akapitzlist"/>
        <w:rPr>
          <w:sz w:val="24"/>
          <w:szCs w:val="24"/>
        </w:rPr>
      </w:pPr>
    </w:p>
    <w:p w:rsidR="005C41E1" w:rsidRDefault="005C41E1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>Individuelle Unterschiede und ihr Einfluss auf den Lernprozess – kognitiv</w:t>
      </w:r>
      <w:r w:rsidR="00241F5E">
        <w:rPr>
          <w:sz w:val="24"/>
          <w:szCs w:val="24"/>
          <w:lang w:val="de-DE"/>
        </w:rPr>
        <w:t>e</w:t>
      </w:r>
      <w:r w:rsidRPr="00616C0C">
        <w:rPr>
          <w:sz w:val="24"/>
          <w:szCs w:val="24"/>
          <w:lang w:val="de-DE"/>
        </w:rPr>
        <w:t xml:space="preserve"> Faktoren.</w:t>
      </w:r>
    </w:p>
    <w:p w:rsidR="00241F5E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 xml:space="preserve">Individuelle Unterschiede und ihr Einfluss auf </w:t>
      </w:r>
      <w:r>
        <w:rPr>
          <w:sz w:val="24"/>
          <w:szCs w:val="24"/>
          <w:lang w:val="de-DE"/>
        </w:rPr>
        <w:t>den Lernprozess – affektive</w:t>
      </w:r>
      <w:r w:rsidRPr="00616C0C">
        <w:rPr>
          <w:sz w:val="24"/>
          <w:szCs w:val="24"/>
          <w:lang w:val="de-DE"/>
        </w:rPr>
        <w:t xml:space="preserve"> </w:t>
      </w:r>
      <w:r w:rsidR="005F1C41">
        <w:rPr>
          <w:sz w:val="24"/>
          <w:szCs w:val="24"/>
          <w:lang w:val="de-DE"/>
        </w:rPr>
        <w:t xml:space="preserve">und </w:t>
      </w:r>
      <w:r w:rsidR="005F1C41" w:rsidRPr="00616C0C">
        <w:rPr>
          <w:sz w:val="24"/>
          <w:szCs w:val="24"/>
          <w:lang w:val="de-DE"/>
        </w:rPr>
        <w:t xml:space="preserve">soziokulturelle </w:t>
      </w:r>
      <w:r w:rsidRPr="00616C0C">
        <w:rPr>
          <w:sz w:val="24"/>
          <w:szCs w:val="24"/>
          <w:lang w:val="de-DE"/>
        </w:rPr>
        <w:t>Faktoren.</w:t>
      </w:r>
    </w:p>
    <w:p w:rsidR="00331522" w:rsidRPr="00241F5E" w:rsidRDefault="00331522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241F5E">
        <w:rPr>
          <w:rStyle w:val="Uwydatnienie"/>
          <w:i w:val="0"/>
          <w:sz w:val="24"/>
          <w:szCs w:val="24"/>
          <w:lang w:val="de-DE"/>
        </w:rPr>
        <w:t>Die Hypothese der kontrastiven Analyse.</w:t>
      </w:r>
    </w:p>
    <w:p w:rsidR="00B627F5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Zweisprachige </w:t>
      </w:r>
      <w:r w:rsidR="0085616C">
        <w:rPr>
          <w:sz w:val="24"/>
          <w:szCs w:val="24"/>
          <w:lang w:val="de-DE"/>
        </w:rPr>
        <w:t>Wörterbücher</w:t>
      </w:r>
      <w:r>
        <w:rPr>
          <w:sz w:val="24"/>
          <w:szCs w:val="24"/>
          <w:lang w:val="de-DE"/>
        </w:rPr>
        <w:t xml:space="preserve"> früher und heute – am Beispiel des Deutschen und des Polnischen.</w:t>
      </w:r>
    </w:p>
    <w:p w:rsidR="00241F5E" w:rsidRPr="00616C0C" w:rsidRDefault="00F44F30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F44F30">
        <w:rPr>
          <w:sz w:val="24"/>
          <w:szCs w:val="24"/>
          <w:lang w:val="de-DE"/>
        </w:rPr>
        <w:t>Zur Funktion und Bedeutung lexikografischer Werke für Übersetzer und im Kontext des Fremdsprachenlernens</w:t>
      </w:r>
      <w:r>
        <w:rPr>
          <w:sz w:val="24"/>
          <w:szCs w:val="24"/>
          <w:lang w:val="de-DE"/>
        </w:rPr>
        <w:t>.</w:t>
      </w:r>
      <w:bookmarkStart w:id="0" w:name="_GoBack"/>
      <w:bookmarkEnd w:id="0"/>
    </w:p>
    <w:p w:rsidR="004D6592" w:rsidRDefault="00DE7406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DE7406">
        <w:rPr>
          <w:sz w:val="24"/>
          <w:szCs w:val="24"/>
          <w:lang w:val="de-DE"/>
        </w:rPr>
        <w:t xml:space="preserve">Definieren Sie den Begriff </w:t>
      </w:r>
      <w:r w:rsidRPr="00DE7406">
        <w:rPr>
          <w:i/>
          <w:iCs/>
          <w:sz w:val="24"/>
          <w:szCs w:val="24"/>
          <w:lang w:val="de-DE"/>
        </w:rPr>
        <w:t>Toponomastik</w:t>
      </w:r>
      <w:r w:rsidRPr="00DE7406">
        <w:rPr>
          <w:sz w:val="24"/>
          <w:szCs w:val="24"/>
          <w:lang w:val="de-DE"/>
        </w:rPr>
        <w:t>. Welche Funktionen erfüllen Ortsnamen in sprachlicher und kultureller Hinsicht?</w:t>
      </w:r>
      <w:r w:rsidR="00701C57">
        <w:rPr>
          <w:sz w:val="24"/>
          <w:szCs w:val="24"/>
          <w:lang w:val="de-DE"/>
        </w:rPr>
        <w:t xml:space="preserve"> </w:t>
      </w:r>
    </w:p>
    <w:p w:rsidR="00800BC7" w:rsidRPr="00616C0C" w:rsidRDefault="00800BC7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800BC7">
        <w:rPr>
          <w:sz w:val="24"/>
          <w:szCs w:val="24"/>
          <w:lang w:val="de-DE"/>
        </w:rPr>
        <w:t xml:space="preserve">Deutsch-polnisches Grenzgebiet im Lichte </w:t>
      </w:r>
      <w:r>
        <w:rPr>
          <w:sz w:val="24"/>
          <w:szCs w:val="24"/>
          <w:lang w:val="de-DE"/>
        </w:rPr>
        <w:t>der Toponomastik (an ausgewählten Beispielen)</w:t>
      </w:r>
    </w:p>
    <w:p w:rsidR="00B627F5" w:rsidRPr="00616C0C" w:rsidRDefault="00B627F5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>Unterschied zwischen grammatischer und semantischer Bedeutung.</w:t>
      </w:r>
    </w:p>
    <w:p w:rsidR="00014CCB" w:rsidRPr="004C7FB4" w:rsidRDefault="004C7FB4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4C7FB4">
        <w:rPr>
          <w:sz w:val="24"/>
          <w:szCs w:val="24"/>
          <w:lang w:val="de-DE"/>
        </w:rPr>
        <w:t xml:space="preserve">Was versteht man unter </w:t>
      </w:r>
      <w:r w:rsidRPr="004C7FB4">
        <w:rPr>
          <w:rStyle w:val="Uwydatnienie"/>
          <w:i w:val="0"/>
          <w:sz w:val="24"/>
          <w:szCs w:val="24"/>
          <w:lang w:val="de-DE"/>
        </w:rPr>
        <w:t>interkultureller Kommunikation</w:t>
      </w:r>
      <w:r w:rsidRPr="004C7FB4">
        <w:rPr>
          <w:sz w:val="24"/>
          <w:szCs w:val="24"/>
          <w:lang w:val="de-DE"/>
        </w:rPr>
        <w:t>?</w:t>
      </w:r>
    </w:p>
    <w:p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Deutsche Gegenwartsliteratur – Merkmale und Autoren.</w:t>
      </w:r>
    </w:p>
    <w:p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 xml:space="preserve">Der Einfluss der Migration in der deutschen Literatur. </w:t>
      </w:r>
    </w:p>
    <w:p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Globalisierung und deutschsprachige Gegenwartsliteratur.</w:t>
      </w:r>
    </w:p>
    <w:p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Orte der verletzten Erinnerung – an ausgewählten literarischen Werken.</w:t>
      </w:r>
    </w:p>
    <w:p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Zwangsumsiedlungen als Folge des Zweiten Weltkriegs und ihre Widerspiegelung in der Literatur.</w:t>
      </w:r>
    </w:p>
    <w:p w:rsidR="004960B5" w:rsidRPr="004960B5" w:rsidRDefault="004960B5" w:rsidP="004960B5">
      <w:pPr>
        <w:spacing w:line="360" w:lineRule="auto"/>
        <w:rPr>
          <w:sz w:val="24"/>
          <w:szCs w:val="24"/>
          <w:lang w:val="de-DE"/>
        </w:rPr>
      </w:pPr>
    </w:p>
    <w:p w:rsidR="005C41E1" w:rsidRPr="00800BC7" w:rsidRDefault="005C41E1" w:rsidP="00800BC7">
      <w:pPr>
        <w:ind w:left="360"/>
        <w:rPr>
          <w:sz w:val="24"/>
          <w:szCs w:val="24"/>
          <w:lang w:val="de-DE"/>
        </w:rPr>
      </w:pPr>
    </w:p>
    <w:p w:rsidR="005C41E1" w:rsidRPr="005C41E1" w:rsidRDefault="005C41E1" w:rsidP="005C41E1">
      <w:pPr>
        <w:rPr>
          <w:sz w:val="24"/>
          <w:szCs w:val="24"/>
          <w:lang w:val="de-DE"/>
        </w:rPr>
      </w:pPr>
    </w:p>
    <w:p w:rsidR="00D770FC" w:rsidRPr="00D770FC" w:rsidRDefault="00D770FC" w:rsidP="00D770FC">
      <w:pPr>
        <w:ind w:left="360"/>
        <w:rPr>
          <w:sz w:val="24"/>
          <w:szCs w:val="24"/>
          <w:lang w:val="de-DE"/>
        </w:rPr>
      </w:pPr>
    </w:p>
    <w:p w:rsidR="00F3547C" w:rsidRPr="00D770FC" w:rsidRDefault="00F3547C" w:rsidP="002667CC">
      <w:pPr>
        <w:pStyle w:val="Akapitzlist"/>
        <w:rPr>
          <w:sz w:val="24"/>
          <w:szCs w:val="24"/>
          <w:lang w:val="de-DE"/>
        </w:rPr>
      </w:pPr>
    </w:p>
    <w:sectPr w:rsidR="00F3547C" w:rsidRPr="00D770FC" w:rsidSect="0064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F85"/>
    <w:multiLevelType w:val="hybridMultilevel"/>
    <w:tmpl w:val="D206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94660"/>
    <w:multiLevelType w:val="hybridMultilevel"/>
    <w:tmpl w:val="8762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29F"/>
    <w:rsid w:val="00014CCB"/>
    <w:rsid w:val="000D66C4"/>
    <w:rsid w:val="00116706"/>
    <w:rsid w:val="00241F5E"/>
    <w:rsid w:val="00246D6C"/>
    <w:rsid w:val="002667CC"/>
    <w:rsid w:val="00331522"/>
    <w:rsid w:val="00366D18"/>
    <w:rsid w:val="004960B5"/>
    <w:rsid w:val="004C7FB4"/>
    <w:rsid w:val="004D6592"/>
    <w:rsid w:val="00544687"/>
    <w:rsid w:val="005C41E1"/>
    <w:rsid w:val="005F1C41"/>
    <w:rsid w:val="00615DDB"/>
    <w:rsid w:val="00616C0C"/>
    <w:rsid w:val="00640C43"/>
    <w:rsid w:val="00684861"/>
    <w:rsid w:val="00701C57"/>
    <w:rsid w:val="007576D9"/>
    <w:rsid w:val="00800BC7"/>
    <w:rsid w:val="00826AB9"/>
    <w:rsid w:val="00834E18"/>
    <w:rsid w:val="0085616C"/>
    <w:rsid w:val="00A5350B"/>
    <w:rsid w:val="00A56810"/>
    <w:rsid w:val="00A613A9"/>
    <w:rsid w:val="00AA0938"/>
    <w:rsid w:val="00AF12C8"/>
    <w:rsid w:val="00B14771"/>
    <w:rsid w:val="00B627F5"/>
    <w:rsid w:val="00C67E45"/>
    <w:rsid w:val="00D770FC"/>
    <w:rsid w:val="00D93551"/>
    <w:rsid w:val="00DE7406"/>
    <w:rsid w:val="00EE6B47"/>
    <w:rsid w:val="00F1229F"/>
    <w:rsid w:val="00F3547C"/>
    <w:rsid w:val="00F44F30"/>
    <w:rsid w:val="00F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C4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29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5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</cp:lastModifiedBy>
  <cp:revision>39</cp:revision>
  <dcterms:created xsi:type="dcterms:W3CDTF">2024-06-07T14:16:00Z</dcterms:created>
  <dcterms:modified xsi:type="dcterms:W3CDTF">2026-03-13T16:48:00Z</dcterms:modified>
</cp:coreProperties>
</file>